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jc w:val="center"/>
      </w:pPr>
      <w:r>
        <w:rPr>
          <w:rFonts w:ascii="Arial" w:cs="Arial" w:eastAsia="Arial" w:hAnsi="Arial"/>
          <w:b/>
          <w:bCs/>
          <w:caps/>
          <w:color w:val="B8952A"/>
          <w:spacing w:val="200"/>
          <w:sz w:val="18"/>
          <w:szCs w:val="18"/>
        </w:rPr>
        <w:t xml:space="preserve">MAIN &amp; WALL FINANCIAL CORPORATION</w:t>
      </w:r>
    </w:p>
    <w:p>
      <w:pPr>
        <w:spacing w:after="400" w:before="0"/>
        <w:jc w:val="center"/>
      </w:pPr>
      <w:r>
        <w:rPr>
          <w:rFonts w:ascii="Arial" w:cs="Arial" w:eastAsia="Arial" w:hAnsi="Arial"/>
          <w:i/>
          <w:iCs/>
          <w:color w:val="1B2A4A"/>
          <w:sz w:val="18"/>
          <w:szCs w:val="18"/>
        </w:rPr>
        <w:t xml:space="preserve">White Paper — Working Section Draft</w:t>
      </w:r>
    </w:p>
    <w:p>
      <w:pPr>
        <w:pStyle w:val="Heading1"/>
        <w:jc w:val="center"/>
      </w:pPr>
      <w:r>
        <w:rPr>
          <w:rFonts w:ascii="Arial" w:cs="Arial" w:eastAsia="Arial" w:hAnsi="Arial"/>
          <w:b/>
          <w:bCs/>
          <w:color w:val="1B2A4A"/>
          <w:sz w:val="36"/>
          <w:szCs w:val="36"/>
        </w:rPr>
        <w:t xml:space="preserve">Section III: The Mesoeconomic Foundation of MFiM™</w:t>
      </w:r>
    </w:p>
    <w:p>
      <w:pPr>
        <w:spacing w:after="400" w:before="120"/>
        <w:jc w:val="center"/>
      </w:pPr>
      <w:r>
        <w:rPr>
          <w:rFonts w:ascii="Georgia" w:cs="Georgia" w:eastAsia="Georgia" w:hAnsi="Georgia"/>
          <w:i/>
          <w:iCs/>
          <w:color w:val="B8952A"/>
          <w:sz w:val="22"/>
          <w:szCs w:val="22"/>
        </w:rPr>
        <w:t xml:space="preserve">Systemnomics Applied to Finance: The Intellectual Lineage of MFiM™</w:t>
      </w:r>
    </w:p>
    <w:p>
      <w:pPr>
        <w:pBdr>
          <w:bottom w:val="single" w:color="B8952A" w:sz="4" w:space="4"/>
        </w:pBdr>
        <w:spacing w:after="240" w:before="240"/>
      </w:pPr>
      <w:r>
        <w:t xml:space="preserve"/>
      </w:r>
    </w:p>
    <w:p>
      <w:pPr>
        <w:pStyle w:val="Heading2"/>
      </w:pPr>
      <w:r>
        <w:rPr>
          <w:rFonts w:ascii="Arial" w:cs="Arial" w:eastAsia="Arial" w:hAnsi="Arial"/>
          <w:b/>
          <w:bCs/>
          <w:color w:val="1B2A4A"/>
          <w:sz w:val="28"/>
          <w:szCs w:val="28"/>
        </w:rPr>
        <w:t xml:space="preserve">3.1  The One-Line Description</w:t>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MFiM™ is systemnomics applied to finance.</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line="360"/>
        <w:jc w:val="both"/>
      </w:pPr>
      <w:r>
        <w:rPr>
          <w:rFonts w:ascii="Georgia" w:cs="Georgia" w:eastAsia="Georgia" w:hAnsi="Georgia"/>
          <w:sz w:val="24"/>
          <w:szCs w:val="24"/>
        </w:rPr>
        <w:t xml:space="preserve">In 2012, economists Andrew Sheng and Xiao Geng of the Fung Global Institute in Hong Kong introduced the term “systemnomics” to describe a more complete architecture for economic analysis — one that operates simultaneously at four levels: micro, macro, meso, and meta. Published via Project Syndicate and the World Economic Forum, their framework argued that the conventional division of economics into micro and macro was “fundamentally incomplete and misleading,” and that the meso layer (institutions, networks, rules) and meta layer (the planetary and civilizational systems within which economies are embedded) were not optional additions but necessary foundations.</w:t>
      </w:r>
    </w:p>
    <w:p>
      <w:pPr>
        <w:spacing w:after="120" w:before="120"/>
      </w:pPr>
      <w:r>
        <w:t xml:space="preserve"/>
      </w:r>
    </w:p>
    <w:p>
      <w:pPr>
        <w:spacing w:after="120" w:before="120" w:line="360"/>
        <w:jc w:val="both"/>
      </w:pPr>
      <w:r>
        <w:rPr>
          <w:rFonts w:ascii="Georgia" w:cs="Georgia" w:eastAsia="Georgia" w:hAnsi="Georgia"/>
          <w:sz w:val="24"/>
          <w:szCs w:val="24"/>
        </w:rPr>
        <w:t xml:space="preserve">Sheng and Geng wrote for policymakers and nation-states. They described the architecture. They did not build a practitioner methodology. No one did.</w:t>
      </w:r>
    </w:p>
    <w:p>
      <w:pPr>
        <w:spacing w:after="120" w:before="120"/>
      </w:pPr>
      <w:r>
        <w:t xml:space="preserve"/>
      </w:r>
    </w:p>
    <w:p>
      <w:pPr>
        <w:spacing w:after="120" w:before="120" w:line="360"/>
        <w:jc w:val="both"/>
      </w:pPr>
      <w:r>
        <w:rPr>
          <w:rFonts w:ascii="Georgia" w:cs="Georgia" w:eastAsia="Georgia" w:hAnsi="Georgia"/>
          <w:b/>
          <w:bCs/>
          <w:sz w:val="24"/>
          <w:szCs w:val="24"/>
        </w:rPr>
        <w:t xml:space="preserve">MFiM™ is systemnomics applied to finance. </w:t>
      </w:r>
      <w:r>
        <w:rPr>
          <w:rFonts w:ascii="Georgia" w:cs="Georgia" w:eastAsia="Georgia" w:hAnsi="Georgia"/>
          <w:sz w:val="24"/>
          <w:szCs w:val="24"/>
        </w:rPr>
        <w:t xml:space="preserve">It is the first — and to our knowledge only — wealth management framework explicitly designed to operate at all four levels of the economic system simultaneously. Where Sheng and Geng described the micro-macro-meso-meta architecture for analyzing China and India at civilizational scale, MFiM™ operationalizes that same architecture for individual investors navigating their financial lives in real time.</w:t>
      </w:r>
    </w:p>
    <w:p>
      <w:pPr>
        <w:spacing w:after="120" w:before="120"/>
      </w:pPr>
      <w:r>
        <w:t xml:space="preserve"/>
      </w:r>
    </w:p>
    <w:p>
      <w:pPr>
        <w:spacing w:after="120" w:before="120" w:line="360"/>
        <w:jc w:val="both"/>
      </w:pPr>
      <w:r>
        <w:rPr>
          <w:rFonts w:ascii="Georgia" w:cs="Georgia" w:eastAsia="Georgia" w:hAnsi="Georgia"/>
          <w:sz w:val="24"/>
          <w:szCs w:val="24"/>
        </w:rPr>
        <w:t xml:space="preserve">The dominant frameworks of modern finance operate at two analytical levels: the microeconomic behavior of individual securities and rational agents, and the macroeconomic aggregates of growth, inflation, and monetary conditions. What these frameworks systematically omit are the two levels that determine whether those micro decisions and macro conditions actually translate into client outcomes — the meso layer of institutional ecology, and the meta layer of civilizational phase transition.</w:t>
      </w:r>
    </w:p>
    <w:p>
      <w:pPr>
        <w:spacing w:after="120" w:before="120"/>
      </w:pPr>
      <w:r>
        <w:t xml:space="preserve"/>
      </w:r>
    </w:p>
    <w:p>
      <w:pPr>
        <w:spacing w:after="120" w:before="120" w:line="360"/>
        <w:jc w:val="both"/>
      </w:pPr>
      <w:r>
        <w:rPr>
          <w:rFonts w:ascii="Georgia" w:cs="Georgia" w:eastAsia="Georgia" w:hAnsi="Georgia"/>
          <w:sz w:val="24"/>
          <w:szCs w:val="24"/>
        </w:rPr>
        <w:t xml:space="preserve">This omission is not incidental. It reflects a foundational assumption of modern portfolio theory: that markets are in approximate equilibrium, that institutional structures are stable, and that systematic risk can be adequately captured through historical covariance matrices. These assumptions were plausible in the post-WWII era of Bretton Woods stability, regulated intermediation, and dollar hegemony. They are increasingly untenable in an era of structural regime change, institutional fragmentation, and the complex feedback dynamics that characterize twenty-first-century capital markets.</w:t>
      </w:r>
    </w:p>
    <w:p>
      <w:pPr>
        <w:spacing w:after="120" w:before="120"/>
      </w:pPr>
      <w:r>
        <w:t xml:space="preserve"/>
      </w:r>
    </w:p>
    <w:p>
      <w:pPr>
        <w:spacing w:after="120" w:before="120" w:line="360"/>
        <w:jc w:val="both"/>
      </w:pPr>
      <w:r>
        <w:rPr>
          <w:rFonts w:ascii="Georgia" w:cs="Georgia" w:eastAsia="Georgia" w:hAnsi="Georgia"/>
          <w:sz w:val="24"/>
          <w:szCs w:val="24"/>
        </w:rPr>
        <w:t xml:space="preserve">This section documents the intellectual lineage of MFiM™ — from Eric Beinhocker’s original synthesis through Brian Arthur’s complexity economics foundation and Colander &amp; Kupers’ policy bridge, arriving at the first operational application of systemnomics in wealth management.</w:t>
      </w:r>
    </w:p>
    <w:p>
      <w:pPr>
        <w:spacing w:after="120" w:before="120"/>
      </w:pPr>
      <w:r>
        <w:t xml:space="preserve"/>
      </w:r>
    </w:p>
    <w:p>
      <w:pPr>
        <w:pStyle w:val="Heading2"/>
      </w:pPr>
      <w:r>
        <w:rPr>
          <w:rFonts w:ascii="Arial" w:cs="Arial" w:eastAsia="Arial" w:hAnsi="Arial"/>
          <w:b/>
          <w:bCs/>
          <w:color w:val="1B2A4A"/>
          <w:sz w:val="28"/>
          <w:szCs w:val="28"/>
        </w:rPr>
        <w:t xml:space="preserve">3.2  Eric Beinhocker and the Origin of the Inquiry</w:t>
      </w:r>
    </w:p>
    <w:p>
      <w:pPr>
        <w:spacing w:after="120" w:before="120" w:line="360"/>
        <w:jc w:val="both"/>
      </w:pPr>
      <w:r>
        <w:rPr>
          <w:rFonts w:ascii="Georgia" w:cs="Georgia" w:eastAsia="Georgia" w:hAnsi="Georgia"/>
          <w:sz w:val="24"/>
          <w:szCs w:val="24"/>
        </w:rPr>
        <w:t xml:space="preserve">The intellectual journey that produced MFiM™ began not in an academic seminar but in the aftermath of the 2008 financial crisis, when Bob Sefcik — a 30-year Wall Street veteran — began a formally documented research sabbatical that would last fourteen years and accumulate more than 20,000 hours of study.</w:t>
      </w:r>
    </w:p>
    <w:p>
      <w:pPr>
        <w:spacing w:after="120" w:before="120"/>
      </w:pPr>
      <w:r>
        <w:t xml:space="preserve"/>
      </w:r>
    </w:p>
    <w:p>
      <w:pPr>
        <w:spacing w:after="120" w:before="120" w:line="360"/>
        <w:jc w:val="both"/>
      </w:pPr>
      <w:r>
        <w:rPr>
          <w:rFonts w:ascii="Georgia" w:cs="Georgia" w:eastAsia="Georgia" w:hAnsi="Georgia"/>
          <w:sz w:val="24"/>
          <w:szCs w:val="24"/>
        </w:rPr>
        <w:t xml:space="preserve">The spark was Eric Beinhocker's The Origin of Wealth (Harvard Business Review Press, 2006). Beinhocker's synthesis of complexity science, evolutionary economics, and systems thinking did not merely challenge the assumptions of modern portfolio theory — it explained, with rigorous theoretical grounding, why the 2008 crisis was not an anomaly but an inevitability. A financial system built on equilibrium assumptions, optimizing agents, and static risk models was structurally incapable of processing the kind of institutional cascade that 2008 represented.</w:t>
      </w:r>
    </w:p>
    <w:p>
      <w:pPr>
        <w:spacing w:after="120" w:before="120"/>
      </w:pPr>
      <w:r>
        <w:t xml:space="preserve"/>
      </w:r>
    </w:p>
    <w:p>
      <w:pPr>
        <w:spacing w:after="120" w:before="120" w:line="360"/>
        <w:jc w:val="both"/>
      </w:pPr>
      <w:r>
        <w:rPr>
          <w:rFonts w:ascii="Georgia" w:cs="Georgia" w:eastAsia="Georgia" w:hAnsi="Georgia"/>
          <w:b/>
          <w:bCs/>
          <w:sz w:val="24"/>
          <w:szCs w:val="24"/>
        </w:rPr>
        <w:t xml:space="preserve">The Unanswered Question: </w:t>
      </w:r>
      <w:r>
        <w:rPr>
          <w:rFonts w:ascii="Georgia" w:cs="Georgia" w:eastAsia="Georgia" w:hAnsi="Georgia"/>
          <w:sz w:val="24"/>
          <w:szCs w:val="24"/>
        </w:rPr>
        <w:t xml:space="preserve">Beinhocker's framework was transformative as a diagnosis. What it did not provide was a prescription — a practitioner methodology for managing client wealth in a world that complexity economics had correctly described. The Origin of Wealth explained the terrain. It did not provide a map for navigating it. That gap became the organizing question of Sefcik's fourteen-year sabbatical, and the founding purpose of MFiM™.</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It started with a book. Beinhocker didn’t just challenge modern portfolio theory — he explained why 2008 was not an anomaly but an inevitability. That was the spark. What followed was 14 years asking one question: if complexity economics is the right description of how markets actually work, what does a wealth management practice built on that foundation actually look like?</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Style w:val="Heading2"/>
      </w:pPr>
      <w:r>
        <w:rPr>
          <w:rFonts w:ascii="Arial" w:cs="Arial" w:eastAsia="Arial" w:hAnsi="Arial"/>
          <w:b/>
          <w:bCs/>
          <w:color w:val="1B2A4A"/>
          <w:sz w:val="28"/>
          <w:szCs w:val="28"/>
        </w:rPr>
        <w:t xml:space="preserve">3.3  W. Brian Arthur and the Complexity Economics Foundation</w:t>
      </w:r>
    </w:p>
    <w:p>
      <w:pPr>
        <w:spacing w:after="120" w:before="120" w:line="360"/>
        <w:jc w:val="both"/>
      </w:pPr>
      <w:r>
        <w:rPr>
          <w:rFonts w:ascii="Georgia" w:cs="Georgia" w:eastAsia="Georgia" w:hAnsi="Georgia"/>
          <w:sz w:val="24"/>
          <w:szCs w:val="24"/>
        </w:rPr>
        <w:t xml:space="preserve">Beinhocker's work drew heavily on the complexity economics framework developed by W. Brian Arthur and his colleagues at the Santa Fe Institute beginning in the 1980s. Arthur's critique of equilibrium economics is both technical and structural: real economies exhibit increasing returns, path dependence, network effects, and emergent behavior that cannot be reconciled with the equilibrium-seeking assumptions of neoclassical theory.</w:t>
      </w:r>
    </w:p>
    <w:p>
      <w:pPr>
        <w:spacing w:after="120" w:before="120"/>
      </w:pPr>
      <w:r>
        <w:t xml:space="preserve"/>
      </w:r>
    </w:p>
    <w:p>
      <w:pPr>
        <w:spacing w:after="120" w:before="120" w:line="360"/>
        <w:jc w:val="both"/>
      </w:pPr>
      <w:r>
        <w:rPr>
          <w:rFonts w:ascii="Georgia" w:cs="Georgia" w:eastAsia="Georgia" w:hAnsi="Georgia"/>
          <w:b/>
          <w:bCs/>
          <w:sz w:val="24"/>
          <w:szCs w:val="24"/>
        </w:rPr>
        <w:t xml:space="preserve">Increasing Returns and Lock-In: </w:t>
      </w:r>
      <w:r>
        <w:rPr>
          <w:rFonts w:ascii="Georgia" w:cs="Georgia" w:eastAsia="Georgia" w:hAnsi="Georgia"/>
          <w:sz w:val="24"/>
          <w:szCs w:val="24"/>
        </w:rPr>
        <w:t xml:space="preserve">Arthur's work on increasing returns (Arthur, 1989, 1994) demonstrated that technological and market competition frequently produces outcomes determined not by fundamental efficiency but by early advantage and self-reinforcing adoption dynamics. Markets do not converge to optimal equilibria; they lock in on outcomes that may be suboptimal, and they do so through mechanisms that are inherently mesoeconomic — the adoption behavior of industries, the investment decisions of institutions, the standards-setting of regulatory bodies.</w:t>
      </w:r>
    </w:p>
    <w:p>
      <w:pPr>
        <w:spacing w:after="120" w:before="120"/>
      </w:pPr>
      <w:r>
        <w:t xml:space="preserve"/>
      </w:r>
    </w:p>
    <w:p>
      <w:pPr>
        <w:spacing w:after="120" w:before="120" w:line="360"/>
        <w:jc w:val="both"/>
      </w:pPr>
      <w:r>
        <w:rPr>
          <w:rFonts w:ascii="Georgia" w:cs="Georgia" w:eastAsia="Georgia" w:hAnsi="Georgia"/>
          <w:b/>
          <w:bCs/>
          <w:sz w:val="24"/>
          <w:szCs w:val="24"/>
        </w:rPr>
        <w:t xml:space="preserve">The Economy as Ecology: </w:t>
      </w:r>
      <w:r>
        <w:rPr>
          <w:rFonts w:ascii="Georgia" w:cs="Georgia" w:eastAsia="Georgia" w:hAnsi="Georgia"/>
          <w:sz w:val="24"/>
          <w:szCs w:val="24"/>
        </w:rPr>
        <w:t xml:space="preserve">Arthur's broader complexity economics framework (Arthur, 2015) reconceives the economy not as a mechanical system to be optimized, but as a biological ecosystem to be navigated. Agents are not fully rational maximizers but adaptive strategists operating under radical uncertainty. Structures are not fixed but evolutionary. Outcomes are not predetermined by fundamentals but emergent from interaction.</w:t>
      </w:r>
    </w:p>
    <w:p>
      <w:pPr>
        <w:spacing w:after="120" w:before="120"/>
      </w:pPr>
      <w:r>
        <w:t xml:space="preserve"/>
      </w:r>
    </w:p>
    <w:p>
      <w:pPr>
        <w:spacing w:after="120" w:before="120" w:line="360"/>
        <w:jc w:val="both"/>
      </w:pPr>
      <w:r>
        <w:rPr>
          <w:rFonts w:ascii="Georgia" w:cs="Georgia" w:eastAsia="Georgia" w:hAnsi="Georgia"/>
          <w:sz w:val="24"/>
          <w:szCs w:val="24"/>
        </w:rPr>
        <w:t xml:space="preserve">This framework has direct implications for wealth management. A portfolio strategy built on equilibrium assumptions will systematically misread regime changes, institutional disruptions, and the structural dynamics of the meso layer. A portfolio strategy built on complexity principles will treat these as primary inputs rather than anomalous noise.</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If you look at the assumptions of modern finance, you see sand. We search for timeless truths — not convenient assumptions.</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Style w:val="Heading2"/>
      </w:pPr>
      <w:r>
        <w:rPr>
          <w:rFonts w:ascii="Arial" w:cs="Arial" w:eastAsia="Arial" w:hAnsi="Arial"/>
          <w:b/>
          <w:bCs/>
          <w:color w:val="1B2A4A"/>
          <w:sz w:val="28"/>
          <w:szCs w:val="28"/>
        </w:rPr>
        <w:t xml:space="preserve">3.4  Colander &amp; Kupers: The Meso Layer as Policy Object</w:t>
      </w:r>
    </w:p>
    <w:p>
      <w:pPr>
        <w:spacing w:after="120" w:before="120" w:line="360"/>
        <w:jc w:val="both"/>
      </w:pPr>
      <w:r>
        <w:rPr>
          <w:rFonts w:ascii="Georgia" w:cs="Georgia" w:eastAsia="Georgia" w:hAnsi="Georgia"/>
          <w:sz w:val="24"/>
          <w:szCs w:val="24"/>
        </w:rPr>
        <w:t xml:space="preserve">The bridge between Arthur's theoretical framework and practical application was constructed by David Colander and Roland Kupers in Complexity and the Art of Public Policy (Princeton University Press, 2014). Their contribution is twofold: first, they formalized the meso layer as a distinct and analytically tractable level of economic analysis; second, they articulated a design philosophy — Active Laissez-Faire — for engaging with complex systems without either ignoring them (classical liberalism) or over-engineering them (technocratic interventionism).</w:t>
      </w:r>
    </w:p>
    <w:p>
      <w:pPr>
        <w:spacing w:after="120" w:before="120"/>
      </w:pPr>
      <w:r>
        <w:t xml:space="preserve"/>
      </w:r>
    </w:p>
    <w:p>
      <w:pPr>
        <w:spacing w:after="120" w:before="120" w:line="360"/>
        <w:jc w:val="both"/>
      </w:pPr>
      <w:r>
        <w:rPr>
          <w:rFonts w:ascii="Georgia" w:cs="Georgia" w:eastAsia="Georgia" w:hAnsi="Georgia"/>
          <w:b/>
          <w:bCs/>
          <w:sz w:val="24"/>
          <w:szCs w:val="24"/>
        </w:rPr>
        <w:t xml:space="preserve">The Meso Layer Defined: </w:t>
      </w:r>
      <w:r>
        <w:rPr>
          <w:rFonts w:ascii="Georgia" w:cs="Georgia" w:eastAsia="Georgia" w:hAnsi="Georgia"/>
          <w:sz w:val="24"/>
          <w:szCs w:val="24"/>
        </w:rPr>
        <w:t xml:space="preserve">Colander and Kupers define the meso layer as the institutional ecology of the economy: the industries, networks, regulatory structures, professional norms, and inter-organizational relationships that mediate between individual agents and aggregate outcomes. This is not simply the "middle" of a spectrum between micro and macro; it is a qualitatively distinct level at which emergent properties arise that cannot be reduced to either individual behavior or aggregate statistics.</w:t>
      </w:r>
    </w:p>
    <w:p>
      <w:pPr>
        <w:spacing w:after="120" w:before="120"/>
      </w:pPr>
      <w:r>
        <w:t xml:space="preserve"/>
      </w:r>
    </w:p>
    <w:p>
      <w:pPr>
        <w:spacing w:after="120" w:before="120" w:line="360"/>
        <w:jc w:val="both"/>
      </w:pPr>
      <w:r>
        <w:rPr>
          <w:rFonts w:ascii="Georgia" w:cs="Georgia" w:eastAsia="Georgia" w:hAnsi="Georgia"/>
          <w:b/>
          <w:bCs/>
          <w:sz w:val="24"/>
          <w:szCs w:val="24"/>
        </w:rPr>
        <w:t xml:space="preserve">Active Laissez-Faire: </w:t>
      </w:r>
      <w:r>
        <w:rPr>
          <w:rFonts w:ascii="Georgia" w:cs="Georgia" w:eastAsia="Georgia" w:hAnsi="Georgia"/>
          <w:sz w:val="24"/>
          <w:szCs w:val="24"/>
        </w:rPr>
        <w:t xml:space="preserve">Their policy framework argues that effective engagement with complex systems requires active cultivation of the institutional ecology rather than either hands-off market neutrality or prescriptive top-down management. The practitioner role is not to predict or control outcomes, but to design structures that are robust to a wide range of possible evolutionary paths.</w:t>
      </w:r>
    </w:p>
    <w:p>
      <w:pPr>
        <w:spacing w:after="120" w:before="120"/>
      </w:pPr>
      <w:r>
        <w:t xml:space="preserve"/>
      </w:r>
    </w:p>
    <w:p>
      <w:pPr>
        <w:spacing w:after="120" w:before="120" w:line="360"/>
        <w:jc w:val="both"/>
      </w:pPr>
      <w:r>
        <w:rPr>
          <w:rFonts w:ascii="Georgia" w:cs="Georgia" w:eastAsia="Georgia" w:hAnsi="Georgia"/>
          <w:sz w:val="24"/>
          <w:szCs w:val="24"/>
        </w:rPr>
        <w:t xml:space="preserve">The limitation of Colander and Kupers is that their framework was written for policymakers. It describes what institutional ecologies are and why they matter, but it does not provide a methodology for practitioners operating within them — for the wealth manager who must make allocation decisions in real time, under uncertainty, with fiduciary obligations to specific clients. That gap is precisely what MFiM™ was designed to fill.</w:t>
      </w:r>
    </w:p>
    <w:p>
      <w:pPr>
        <w:spacing w:after="120" w:before="120"/>
      </w:pPr>
      <w:r>
        <w:t xml:space="preserve"/>
      </w:r>
    </w:p>
    <w:p>
      <w:pPr>
        <w:pStyle w:val="Heading2"/>
      </w:pPr>
      <w:r>
        <w:rPr>
          <w:rFonts w:ascii="Arial" w:cs="Arial" w:eastAsia="Arial" w:hAnsi="Arial"/>
          <w:b/>
          <w:bCs/>
          <w:color w:val="1B2A4A"/>
          <w:sz w:val="28"/>
          <w:szCs w:val="28"/>
        </w:rPr>
        <w:t xml:space="preserve">3.5  MFiM™ as the First Operational Application</w:t>
      </w:r>
    </w:p>
    <w:p>
      <w:pPr>
        <w:spacing w:after="120" w:before="120" w:line="360"/>
        <w:jc w:val="both"/>
      </w:pPr>
      <w:r>
        <w:rPr>
          <w:rFonts w:ascii="Georgia" w:cs="Georgia" w:eastAsia="Georgia" w:hAnsi="Georgia"/>
          <w:sz w:val="24"/>
          <w:szCs w:val="24"/>
        </w:rPr>
        <w:t xml:space="preserve">Modular-Finance-in-Motion™ completes the lineage from Beinhocker's original synthesis through Arthur's theoretical framework and Colander &amp; Kupers' policy bridge, arriving at a practitioner methodology. Its architecture reflects the mesoeconomic framework at every level of design.</w:t>
      </w:r>
    </w:p>
    <w:p>
      <w:pPr>
        <w:spacing w:after="120" w:before="120"/>
      </w:pPr>
      <w:r>
        <w:t xml:space="preserve"/>
      </w:r>
    </w:p>
    <w:p>
      <w:pPr>
        <w:spacing w:after="120" w:before="120" w:line="360"/>
        <w:jc w:val="both"/>
      </w:pPr>
      <w:r>
        <w:rPr>
          <w:rFonts w:ascii="Georgia" w:cs="Georgia" w:eastAsia="Georgia" w:hAnsi="Georgia"/>
          <w:b/>
          <w:bCs/>
          <w:sz w:val="24"/>
          <w:szCs w:val="24"/>
        </w:rPr>
        <w:t xml:space="preserve">Modular Architecture: </w:t>
      </w:r>
      <w:r>
        <w:rPr>
          <w:rFonts w:ascii="Georgia" w:cs="Georgia" w:eastAsia="Georgia" w:hAnsi="Georgia"/>
          <w:sz w:val="24"/>
          <w:szCs w:val="24"/>
        </w:rPr>
        <w:t xml:space="preserve">The modular structure of MFiM™ — organizing client wealth into functional components (income, growth, protection, liquidity, legacy) rather than asset class buckets — maps directly to the meso layer. Each module corresponds to a functional role in the economic ecosystem, with distinct behavioral characteristics, institutional dependencies, and regime sensitivities. The portfolio is not a static allocation; it is a dynamic system of interacting components, each calibrated to the current phase of the institutional cycle.</w:t>
      </w:r>
    </w:p>
    <w:p>
      <w:pPr>
        <w:spacing w:after="120" w:before="120"/>
      </w:pPr>
      <w:r>
        <w:t xml:space="preserve"/>
      </w:r>
    </w:p>
    <w:p>
      <w:pPr>
        <w:spacing w:after="120" w:before="120" w:line="360"/>
        <w:jc w:val="both"/>
      </w:pPr>
      <w:r>
        <w:rPr>
          <w:rFonts w:ascii="Georgia" w:cs="Georgia" w:eastAsia="Georgia" w:hAnsi="Georgia"/>
          <w:b/>
          <w:bCs/>
          <w:sz w:val="24"/>
          <w:szCs w:val="24"/>
        </w:rPr>
        <w:t xml:space="preserve">The Three-Body Problem: </w:t>
      </w:r>
      <w:r>
        <w:rPr>
          <w:rFonts w:ascii="Georgia" w:cs="Georgia" w:eastAsia="Georgia" w:hAnsi="Georgia"/>
          <w:sz w:val="24"/>
          <w:szCs w:val="24"/>
        </w:rPr>
        <w:t xml:space="preserve">MFiM™'s macro-structural framework — modeling the dynamic interaction between Main Street, Wall Street, and Pennsylvania Avenue — is an explicitly mesoeconomic construct. It does not aggregate these spheres into a single macro number; it models the feedback loops, tensions, and transmission mechanisms between institutional actors. This is the level at which regime changes originate and propagate, and it is the level at which MFiM™ is designed to read them.</w:t>
      </w:r>
    </w:p>
    <w:p>
      <w:pPr>
        <w:spacing w:after="120" w:before="120"/>
      </w:pPr>
      <w:r>
        <w:t xml:space="preserve"/>
      </w:r>
    </w:p>
    <w:p>
      <w:pPr>
        <w:spacing w:after="120" w:before="120" w:line="360"/>
        <w:jc w:val="both"/>
      </w:pPr>
      <w:r>
        <w:rPr>
          <w:rFonts w:ascii="Georgia" w:cs="Georgia" w:eastAsia="Georgia" w:hAnsi="Georgia"/>
          <w:b/>
          <w:bCs/>
          <w:sz w:val="24"/>
          <w:szCs w:val="24"/>
        </w:rPr>
        <w:t xml:space="preserve">Phase Sensitivity: </w:t>
      </w:r>
      <w:r>
        <w:rPr>
          <w:rFonts w:ascii="Georgia" w:cs="Georgia" w:eastAsia="Georgia" w:hAnsi="Georgia"/>
          <w:sz w:val="24"/>
          <w:szCs w:val="24"/>
        </w:rPr>
        <w:t xml:space="preserve">The framework's orientation toward institutional phase transitions — its capacity to detect when the rules of the current regime are changing, rather than simply responding to price movements within a stable regime — is a direct application of complexity economics principles. As Arthur demonstrated, the most consequential economic events are not fluctuations within an equilibrium but transitions between regimes. MFiM™ is built to detect and respond to these transitions.</w:t>
      </w:r>
    </w:p>
    <w:p>
      <w:pPr>
        <w:spacing w:after="120" w:before="120"/>
      </w:pPr>
      <w:r>
        <w:t xml:space="preserve"/>
      </w:r>
    </w:p>
    <w:p>
      <w:pPr>
        <w:pStyle w:val="Heading3"/>
      </w:pPr>
      <w:r>
        <w:rPr>
          <w:rFonts w:ascii="Arial" w:cs="Arial" w:eastAsia="Arial" w:hAnsi="Arial"/>
          <w:b/>
          <w:bCs/>
          <w:color w:val="B8952A"/>
          <w:sz w:val="24"/>
          <w:szCs w:val="24"/>
        </w:rPr>
        <w:t xml:space="preserve">3.5.1  Ed Morrison and Strategic Doing: The Meso Layer in Practice</w:t>
      </w:r>
    </w:p>
    <w:p>
      <w:pPr>
        <w:spacing w:after="120" w:before="120" w:line="360"/>
        <w:jc w:val="both"/>
      </w:pPr>
      <w:r>
        <w:rPr>
          <w:rFonts w:ascii="Georgia" w:cs="Georgia" w:eastAsia="Georgia" w:hAnsi="Georgia"/>
          <w:sz w:val="24"/>
          <w:szCs w:val="24"/>
        </w:rPr>
        <w:t xml:space="preserve">If Freeman is the moral philosopher of the meta level, Ed Morrison is the operational architect of the meso level. His discipline of Strategic Doing — developed over three decades and formalized in Strategic Doing: Ten Skills for Agile Leadership (Wiley, 2019) — is the most precise methodology available for activating strategy in exactly the environment MFiM™ operates within: loosely joined, open networks of institutions, communities, and organizations where no single hierarchy has the authority to command action.</w:t>
      </w:r>
    </w:p>
    <w:p>
      <w:pPr>
        <w:spacing w:after="120" w:before="120"/>
      </w:pPr>
      <w:r>
        <w:t xml:space="preserve"/>
      </w:r>
    </w:p>
    <w:p>
      <w:pPr>
        <w:spacing w:after="120" w:before="120" w:line="360"/>
        <w:jc w:val="both"/>
      </w:pPr>
      <w:r>
        <w:rPr>
          <w:rFonts w:ascii="Georgia" w:cs="Georgia" w:eastAsia="Georgia" w:hAnsi="Georgia"/>
          <w:sz w:val="24"/>
          <w:szCs w:val="24"/>
        </w:rPr>
        <w:t xml:space="preserve">Morrison’s foundational insight is that the meso layer — the space between individual agents and aggregate systems — cannot be managed through top-down planning. Complex networks of diverse stakeholders don’t respond to vision documents and strategic plans. They respond to what Morrison calls microcommitments: small, concrete, doable actions that build trust across the network and move it toward shared outcomes without requiring anyone to surrender autonomy.</w:t>
      </w:r>
    </w:p>
    <w:p>
      <w:pPr>
        <w:spacing w:after="120" w:before="120"/>
      </w:pPr>
      <w:r>
        <w:t xml:space="preserve"/>
      </w:r>
    </w:p>
    <w:p>
      <w:pPr>
        <w:spacing w:after="120" w:before="120" w:line="360"/>
        <w:jc w:val="both"/>
      </w:pPr>
      <w:r>
        <w:rPr>
          <w:rFonts w:ascii="Georgia" w:cs="Georgia" w:eastAsia="Georgia" w:hAnsi="Georgia"/>
          <w:b/>
          <w:bCs/>
          <w:sz w:val="24"/>
          <w:szCs w:val="24"/>
        </w:rPr>
        <w:t xml:space="preserve">Strategic Doing as MFiM™ Operating Model: </w:t>
      </w:r>
      <w:r>
        <w:rPr>
          <w:rFonts w:ascii="Georgia" w:cs="Georgia" w:eastAsia="Georgia" w:hAnsi="Georgia"/>
          <w:sz w:val="24"/>
          <w:szCs w:val="24"/>
        </w:rPr>
        <w:t xml:space="preserve">The Main &amp; Wall ecosystem — the Charlottesville complexity cluster, the UVA alumni constellation, the basketball network, the Hackensack community initiative, the NIL program — is a Strategic Doing network. It does not require formal institutional agreements, bureaucratic approval, or hierarchical authority. It requires aligned people making microcommitments and adapting as they learn. Morrison wrote the manual for exactly this operating model before Main &amp; Wall existed to need it.</w:t>
      </w:r>
    </w:p>
    <w:p>
      <w:pPr>
        <w:spacing w:after="120" w:before="120"/>
      </w:pPr>
      <w:r>
        <w:t xml:space="preserve"/>
      </w:r>
    </w:p>
    <w:p>
      <w:pPr>
        <w:spacing w:after="120" w:before="120" w:line="360"/>
        <w:jc w:val="both"/>
      </w:pPr>
      <w:r>
        <w:rPr>
          <w:rFonts w:ascii="Georgia" w:cs="Georgia" w:eastAsia="Georgia" w:hAnsi="Georgia"/>
          <w:b/>
          <w:bCs/>
          <w:sz w:val="24"/>
          <w:szCs w:val="24"/>
        </w:rPr>
        <w:t xml:space="preserve">The Complexity Connection: </w:t>
      </w:r>
      <w:r>
        <w:rPr>
          <w:rFonts w:ascii="Georgia" w:cs="Georgia" w:eastAsia="Georgia" w:hAnsi="Georgia"/>
          <w:sz w:val="24"/>
          <w:szCs w:val="24"/>
        </w:rPr>
        <w:t xml:space="preserve">Morrison’s work is explicitly grounded in complexity science — the same intellectual tradition that underlies MFiM™. His 2020 paper with Knowles, “Strategy and Complexity: Two Models for Guiding Strategy in Complex Community Environments,” makes the connection explicit: Strategic Doing is complexity-aware strategy. No big plans. Experiments. Microcommitments. Adapt as you learn. This is the Cynefin wayfinding principle — the way is not a map — operationalized as a discipline.</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Morrison didn’t just write a book about the meso layer. He wrote the operating manual for how Main &amp; Wall activates it.</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MFiM™ is not a new product. It is a new foundation.</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Style w:val="Heading2"/>
      </w:pPr>
      <w:r>
        <w:rPr>
          <w:rFonts w:ascii="Arial" w:cs="Arial" w:eastAsia="Arial" w:hAnsi="Arial"/>
          <w:b/>
          <w:bCs/>
          <w:color w:val="1B2A4A"/>
          <w:sz w:val="28"/>
          <w:szCs w:val="28"/>
        </w:rPr>
        <w:t xml:space="preserve">3.6  Institutional Validation: The CFA Institute Signal</w:t>
      </w:r>
    </w:p>
    <w:p>
      <w:pPr>
        <w:spacing w:after="120" w:before="120" w:line="360"/>
        <w:jc w:val="both"/>
      </w:pPr>
      <w:r>
        <w:rPr>
          <w:rFonts w:ascii="Georgia" w:cs="Georgia" w:eastAsia="Georgia" w:hAnsi="Georgia"/>
          <w:sz w:val="24"/>
          <w:szCs w:val="24"/>
        </w:rPr>
        <w:t xml:space="preserve">The intellectual framework underlying MFiM™ received significant institutional validation in October 2025, when the CFA Institute — the global standard-setting body for investment professionals, headquartered in Charlottesville, Virginia — published Reframing Financial Markets as Complex Systems: Tools for Systemic Risk Analysis, Portfolio Management, and System-Level Investing, authored by Genevieve Hayman, PhD and Raymond Ka-Kay Pang, PhD, both Senior Researchers at CFA Institute's Research and Policy Center.</w:t>
      </w:r>
    </w:p>
    <w:p>
      <w:pPr>
        <w:spacing w:after="120" w:before="120"/>
      </w:pPr>
      <w:r>
        <w:t xml:space="preserve"/>
      </w:r>
    </w:p>
    <w:p>
      <w:pPr>
        <w:spacing w:after="120" w:before="120" w:line="360"/>
        <w:jc w:val="both"/>
      </w:pPr>
      <w:r>
        <w:rPr>
          <w:rFonts w:ascii="Georgia" w:cs="Georgia" w:eastAsia="Georgia" w:hAnsi="Georgia"/>
          <w:sz w:val="24"/>
          <w:szCs w:val="24"/>
        </w:rPr>
        <w:t xml:space="preserve">The report explicitly frames financial markets as complex adaptive systems, arguing that traditional equilibrium and normal-distribution models struggle to explain the behavior of real markets — and calls for the integration of complex systems methods into investment practice and systemic risk oversight. Its central thesis directly validates the foundational premise of MFiM™: that markets are not static equilibrium systems but dynamic, evolving, and highly interconnected — and that managing wealth within them requires a framework built for complexity, not one that assumes it away.</w:t>
      </w:r>
    </w:p>
    <w:p>
      <w:pPr>
        <w:spacing w:after="120" w:before="120"/>
      </w:pPr>
      <w:r>
        <w:t xml:space="preserve"/>
      </w:r>
    </w:p>
    <w:p>
      <w:pPr>
        <w:spacing w:after="120" w:before="120" w:line="360"/>
        <w:jc w:val="both"/>
      </w:pPr>
      <w:r>
        <w:rPr>
          <w:rFonts w:ascii="Georgia" w:cs="Georgia" w:eastAsia="Georgia" w:hAnsi="Georgia"/>
          <w:sz w:val="24"/>
          <w:szCs w:val="24"/>
        </w:rPr>
        <w:t xml:space="preserve">Main &amp; Wall Financial Corporation, as the first RIA to operationalize complexity economics through MFiM™, is positioned at the leading edge of this transition. The intellectual lineage from Beinhocker to Arthur to Colander &amp; Kupers to MFiM™ is not merely an academic genealogy; it is a competitive differentiation that no other registered investment advisor currently occupies.</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There are 15,000+ RIAs in America. Nobody is here.</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Bdr>
          <w:bottom w:val="single" w:color="B8952A" w:sz="4" w:space="4"/>
        </w:pBdr>
        <w:spacing w:after="240" w:before="240"/>
      </w:pPr>
      <w:r>
        <w:t xml:space="preserve"/>
      </w:r>
    </w:p>
    <w:p>
      <w:pPr>
        <w:pStyle w:val="Heading2"/>
      </w:pPr>
      <w:r>
        <w:rPr>
          <w:rFonts w:ascii="Arial" w:cs="Arial" w:eastAsia="Arial" w:hAnsi="Arial"/>
          <w:b/>
          <w:bCs/>
          <w:color w:val="1B2A4A"/>
          <w:sz w:val="28"/>
          <w:szCs w:val="28"/>
        </w:rPr>
        <w:t xml:space="preserve">3.7  The Meta Level: Where the Liberal Arts Become Load-Bearing</w:t>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The meta level is where behavioral finance grows up.</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line="360"/>
        <w:jc w:val="both"/>
      </w:pPr>
      <w:r>
        <w:rPr>
          <w:rFonts w:ascii="Georgia" w:cs="Georgia" w:eastAsia="Georgia" w:hAnsi="Georgia"/>
          <w:sz w:val="24"/>
          <w:szCs w:val="24"/>
        </w:rPr>
        <w:t xml:space="preserve">Kahneman and Tversky opened the door in the 1970s. They proved that humans don’t behave like the rational agents that micro and macro economics assumed. That was the crack in the foundation of modern portfolio theory — and the birth of behavioral finance.</w:t>
      </w:r>
    </w:p>
    <w:p>
      <w:pPr>
        <w:spacing w:after="120" w:before="120"/>
      </w:pPr>
      <w:r>
        <w:t xml:space="preserve"/>
      </w:r>
    </w:p>
    <w:p>
      <w:pPr>
        <w:spacing w:after="120" w:before="120" w:line="360"/>
        <w:jc w:val="both"/>
      </w:pPr>
      <w:r>
        <w:rPr>
          <w:rFonts w:ascii="Georgia" w:cs="Georgia" w:eastAsia="Georgia" w:hAnsi="Georgia"/>
          <w:sz w:val="24"/>
          <w:szCs w:val="24"/>
        </w:rPr>
        <w:t xml:space="preserve">But behavioral finance as the profession absorbed it stayed narrow. It became a list of biases — anchoring, loss aversion, recency bias — and a set of nudges to correct them. Useful. But incomplete. It named the problem at the individual level without providing the full architecture for navigating it at the systemic level.</w:t>
      </w:r>
    </w:p>
    <w:p>
      <w:pPr>
        <w:spacing w:after="120" w:before="120"/>
      </w:pPr>
      <w:r>
        <w:t xml:space="preserve"/>
      </w:r>
    </w:p>
    <w:p>
      <w:pPr>
        <w:spacing w:after="120" w:before="120" w:line="360"/>
        <w:jc w:val="both"/>
      </w:pPr>
      <w:r>
        <w:rPr>
          <w:rFonts w:ascii="Georgia" w:cs="Georgia" w:eastAsia="Georgia" w:hAnsi="Georgia"/>
          <w:sz w:val="24"/>
          <w:szCs w:val="24"/>
        </w:rPr>
        <w:t xml:space="preserve">The meta level is the full architecture. It is behavioral finance realized — expanded from individual cognitive bias into the complete human layer of the economic system: the values, beliefs, fears, stories, and moral frameworks that shape behavior before any economic model ever gets applied. It is the ‘why’ underneath the ‘what.’</w:t>
      </w:r>
    </w:p>
    <w:p>
      <w:pPr>
        <w:spacing w:after="120" w:before="120" w:line="360"/>
        <w:jc w:val="both"/>
      </w:pPr>
      <w:r>
        <w:rPr>
          <w:rFonts w:ascii="Georgia" w:cs="Georgia" w:eastAsia="Georgia" w:hAnsi="Georgia"/>
          <w:sz w:val="24"/>
          <w:szCs w:val="24"/>
        </w:rPr>
        <w:t xml:space="preserve">In the academic literature, meta-economics is described as the study of deeper functional aspects of the economy, understood as a complex, interactive, and holistic living system. Sheng and Geng characterize it as the layer that humanizes economics — the level at which the economy is understood not merely as a mechanism for resource allocation but as an expression of human values, culture, psychology, and narrative.</w:t>
      </w:r>
    </w:p>
    <w:p>
      <w:pPr>
        <w:spacing w:after="120" w:before="120"/>
      </w:pPr>
      <w:r>
        <w:t xml:space="preserve"/>
      </w:r>
    </w:p>
    <w:p>
      <w:pPr>
        <w:spacing w:after="120" w:before="120" w:line="360"/>
        <w:jc w:val="both"/>
      </w:pPr>
      <w:r>
        <w:rPr>
          <w:rFonts w:ascii="Georgia" w:cs="Georgia" w:eastAsia="Georgia" w:hAnsi="Georgia"/>
          <w:sz w:val="24"/>
          <w:szCs w:val="24"/>
        </w:rPr>
        <w:t xml:space="preserve">Beinhocker's framing goes further. In The Origin of Wealth, he argues that the meta level encompasses the moral philosophy, psychology, anthropology, and sociology that transcend the boundaries of profit maximization and individual rationality. These are not soft additions to a hard framework. They are structurally necessary inputs to any model that attempts to describe how economies actually behave — because economies are not populated by rational agents. They are populated by human beings, operating under fear, incentive, narrative, and belief.</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The meta level is where the liberal arts become load-bearing. MFiM™ is the first wealth management framework built on all four floors.</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pStyle w:val="Heading3"/>
      </w:pPr>
      <w:r>
        <w:rPr>
          <w:rFonts w:ascii="Arial" w:cs="Arial" w:eastAsia="Arial" w:hAnsi="Arial"/>
          <w:b/>
          <w:bCs/>
          <w:color w:val="B8952A"/>
          <w:sz w:val="24"/>
          <w:szCs w:val="24"/>
        </w:rPr>
        <w:t xml:space="preserve">3.7.1  Why the Meta Level Cannot Be Modeled Away</w:t>
      </w:r>
    </w:p>
    <w:p>
      <w:pPr>
        <w:spacing w:after="120" w:before="120" w:line="360"/>
        <w:jc w:val="both"/>
      </w:pPr>
      <w:r>
        <w:rPr>
          <w:rFonts w:ascii="Georgia" w:cs="Georgia" w:eastAsia="Georgia" w:hAnsi="Georgia"/>
          <w:sz w:val="24"/>
          <w:szCs w:val="24"/>
        </w:rPr>
        <w:t xml:space="preserve">The behavioral evidence for the meta level's necessity is overwhelming. Research on institutional failure — from the 2008 financial crisis to the chronic underperformance of organisational learning — consistently identifies the same root dynamic: systems that make it safer not to fully engage with reality. Incentives structured around fear of missing targets, losing bonuses, political fallout, and damaged careers produce organisations that stop learning honestly. Instead, they optimise for survival within the system itself.</w:t>
      </w:r>
    </w:p>
    <w:p>
      <w:pPr>
        <w:spacing w:after="120" w:before="120"/>
      </w:pPr>
      <w:r>
        <w:t xml:space="preserve"/>
      </w:r>
    </w:p>
    <w:p>
      <w:pPr>
        <w:spacing w:after="120" w:before="120" w:line="360"/>
        <w:jc w:val="both"/>
      </w:pPr>
      <w:r>
        <w:rPr>
          <w:rFonts w:ascii="Georgia" w:cs="Georgia" w:eastAsia="Georgia" w:hAnsi="Georgia"/>
          <w:sz w:val="24"/>
          <w:szCs w:val="24"/>
        </w:rPr>
        <w:t xml:space="preserve">This is not a micro-level failure of individual rationality. It is not a macro-level failure of aggregate policy. It is a meta-level failure — a collapse of the values, psychological safety, and honest narrative that make genuine learning possible. No equilibrium model captures it. No covariance matrix measures it. It operates at the level of human nature, organisational culture, and institutional incentive structure — the level that Beinhocker identified, that Ed Hess has built a methodology around, and that MFiM™ treats as a primary input rather than an externality.</w:t>
      </w:r>
    </w:p>
    <w:p>
      <w:pPr>
        <w:spacing w:after="120" w:before="120"/>
      </w:pPr>
      <w:r>
        <w:t xml:space="preserve"/>
      </w:r>
    </w:p>
    <w:p>
      <w:pPr>
        <w:spacing w:after="120" w:before="120" w:line="360"/>
        <w:jc w:val="both"/>
      </w:pPr>
      <w:r>
        <w:rPr>
          <w:rFonts w:ascii="Georgia" w:cs="Georgia" w:eastAsia="Georgia" w:hAnsi="Georgia"/>
          <w:b/>
          <w:bCs/>
          <w:sz w:val="24"/>
          <w:szCs w:val="24"/>
        </w:rPr>
        <w:t xml:space="preserve">The Wilful Blindness Problem: </w:t>
      </w:r>
      <w:r>
        <w:rPr>
          <w:rFonts w:ascii="Georgia" w:cs="Georgia" w:eastAsia="Georgia" w:hAnsi="Georgia"/>
          <w:sz w:val="24"/>
          <w:szCs w:val="24"/>
        </w:rPr>
        <w:t xml:space="preserve">The financial advisory profession is a case study in meta-level failure. The information that modern portfolio theory's assumptions were strained existed before 2008. The evidence that equilibrium models systematically mispriced tail risk was available. What the system lacked was not data — it was the meta-level capacity to act on uncomfortable truths. Advisors learned to manage client perceptions rather than client reality. They protected territory rather than surfaced truth. They avoided difficult conversations because difficult conversations created career risk. This is optimisation for survival within the system — the precise dynamic that meta-economics identifies and that MFiM™ is designed to interrupt.</w:t>
      </w:r>
    </w:p>
    <w:p>
      <w:pPr>
        <w:spacing w:after="120" w:before="120"/>
      </w:pPr>
      <w:r>
        <w:t xml:space="preserve"/>
      </w:r>
    </w:p>
    <w:p>
      <w:pPr>
        <w:pStyle w:val="Heading3"/>
      </w:pPr>
      <w:r>
        <w:rPr>
          <w:rFonts w:ascii="Arial" w:cs="Arial" w:eastAsia="Arial" w:hAnsi="Arial"/>
          <w:b/>
          <w:bCs/>
          <w:color w:val="B8952A"/>
          <w:sz w:val="24"/>
          <w:szCs w:val="24"/>
        </w:rPr>
        <w:t xml:space="preserve">3.7.2  The Liberal Arts as Structural Architecture</w:t>
      </w:r>
    </w:p>
    <w:p>
      <w:pPr>
        <w:spacing w:after="120" w:before="120" w:line="360"/>
        <w:jc w:val="both"/>
      </w:pPr>
      <w:r>
        <w:rPr>
          <w:rFonts w:ascii="Georgia" w:cs="Georgia" w:eastAsia="Georgia" w:hAnsi="Georgia"/>
          <w:sz w:val="24"/>
          <w:szCs w:val="24"/>
        </w:rPr>
        <w:t xml:space="preserve">The liberal arts are not decorative. In the MFiM™ framework, they are structural — the disciplines that make the meta level legible and navigable. Each liberal arts tradition maps to a specific meta-level function:</w:t>
      </w:r>
    </w:p>
    <w:p>
      <w:pPr>
        <w:spacing w:after="120" w:before="120"/>
      </w:pPr>
      <w:r>
        <w:t xml:space="preserve"/>
      </w:r>
    </w:p>
    <w:p>
      <w:pPr>
        <w:spacing w:after="120" w:before="120" w:line="360"/>
        <w:jc w:val="both"/>
      </w:pPr>
      <w:r>
        <w:rPr>
          <w:rFonts w:ascii="Georgia" w:cs="Georgia" w:eastAsia="Georgia" w:hAnsi="Georgia"/>
          <w:b/>
          <w:bCs/>
          <w:sz w:val="24"/>
          <w:szCs w:val="24"/>
        </w:rPr>
        <w:t xml:space="preserve">Hyper-Learning (Ed Hess, Darden/UVA): </w:t>
      </w:r>
      <w:r>
        <w:rPr>
          <w:rFonts w:ascii="Georgia" w:cs="Georgia" w:eastAsia="Georgia" w:hAnsi="Georgia"/>
          <w:sz w:val="24"/>
          <w:szCs w:val="24"/>
        </w:rPr>
        <w:t xml:space="preserve">Hess's body of work — Learn or Die (2014), Humility Is the New Smart (2017), and Hyper-Learning (2020) — establishes that the highest levels of human performance in the Digital Age require continuously learning, unlearning, and relearning. His central insight is that our greatest obstacle is not lack of intelligence but reflexive self-protection: we seek confirmation of what we already believe, defend our ego against uncomfortable truths, and optimise for the appearance of competence rather than genuine understanding. Humility — not IQ — is the meta-level capacity that separates organisations that learn honestly from those that manage perceptions. This is the behavioral foundation of MFiM™'s practitioner model: a framework that demands honest engagement with complexity rather than the comfort of convenient assumptions.</w:t>
      </w:r>
    </w:p>
    <w:p>
      <w:pPr>
        <w:spacing w:after="120" w:before="120"/>
      </w:pPr>
      <w:r>
        <w:t xml:space="preserve"/>
      </w:r>
    </w:p>
    <w:p>
      <w:pPr>
        <w:spacing w:after="120" w:before="120" w:line="360"/>
        <w:jc w:val="both"/>
      </w:pPr>
      <w:r>
        <w:rPr>
          <w:rFonts w:ascii="Georgia" w:cs="Georgia" w:eastAsia="Georgia" w:hAnsi="Georgia"/>
          <w:b/>
          <w:bCs/>
          <w:sz w:val="24"/>
          <w:szCs w:val="24"/>
        </w:rPr>
        <w:t xml:space="preserve">Moral Philosophy — The Power of AND (R. Edward Freeman, UVA Darden): </w:t>
      </w:r>
      <w:r>
        <w:rPr>
          <w:rFonts w:ascii="Georgia" w:cs="Georgia" w:eastAsia="Georgia" w:hAnsi="Georgia"/>
          <w:sz w:val="24"/>
          <w:szCs w:val="24"/>
        </w:rPr>
        <w:t xml:space="preserve">Freeman is not a business professor who dabbles in ethics. He holds a PhD in philosophy and has spent forty years building the most rigorous moral framework for capitalism available: stakeholder theory. His foundational work Strategic Management: A Stakeholder Approach (1984) established that businesses create value for and with all stakeholders — customers, employees, communities, suppliers, and shareholders — not shareholders alone. His 2020 book The Power of And: Responsible Business Without Tradeoffs, co-authored with Kirsten Martin and Bidhan Parmar, crystallizes the philosophical architecture of MFiM™ in five paired concepts: purpose AND profits, stakeholders AND shareholders, society AND markets, humanity AND economics, business AND ethics. The Power of AND is not a tagline for Main &amp; Wall. It is the ethical operating system of the entire framework. Every false dichotomy that modern finance created — return versus responsibility, rigor versus humanity, Wall Street versus Main Street — the Power of AND refuses. The name of this firm is not accidental. It is a philosophical position.</w:t>
      </w:r>
    </w:p>
    <w:p>
      <w:pPr>
        <w:spacing w:after="120" w:before="120"/>
      </w:pPr>
      <w:r>
        <w:t xml:space="preserve"/>
      </w:r>
    </w:p>
    <w:p>
      <w:pPr>
        <w:spacing w:after="120" w:before="120" w:line="360"/>
        <w:jc w:val="both"/>
      </w:pPr>
      <w:r>
        <w:rPr>
          <w:rFonts w:ascii="Georgia" w:cs="Georgia" w:eastAsia="Georgia" w:hAnsi="Georgia"/>
          <w:b/>
          <w:bCs/>
          <w:sz w:val="24"/>
          <w:szCs w:val="24"/>
        </w:rPr>
        <w:t xml:space="preserve">Narrative Economics (Robert Shiller): </w:t>
      </w:r>
      <w:r>
        <w:rPr>
          <w:rFonts w:ascii="Georgia" w:cs="Georgia" w:eastAsia="Georgia" w:hAnsi="Georgia"/>
          <w:sz w:val="24"/>
          <w:szCs w:val="24"/>
        </w:rPr>
        <w:t xml:space="preserve">The study of how stories and beliefs propagate through economies and drive behavior independently of fundamentals. Markets do not move on information alone — they move on narratives about information. A framework that cannot read narrative cannot read markets.</w:t>
      </w:r>
    </w:p>
    <w:p>
      <w:pPr>
        <w:spacing w:after="120" w:before="120"/>
      </w:pPr>
      <w:r>
        <w:t xml:space="preserve"/>
      </w:r>
    </w:p>
    <w:p>
      <w:pPr>
        <w:spacing w:after="120" w:before="120" w:line="360"/>
        <w:jc w:val="both"/>
      </w:pPr>
      <w:r>
        <w:rPr>
          <w:rFonts w:ascii="Georgia" w:cs="Georgia" w:eastAsia="Georgia" w:hAnsi="Georgia"/>
          <w:b/>
          <w:bCs/>
          <w:sz w:val="24"/>
          <w:szCs w:val="24"/>
        </w:rPr>
        <w:t xml:space="preserve">Worldly Wisdom (Charlie Munger): </w:t>
      </w:r>
      <w:r>
        <w:rPr>
          <w:rFonts w:ascii="Georgia" w:cs="Georgia" w:eastAsia="Georgia" w:hAnsi="Georgia"/>
          <w:sz w:val="24"/>
          <w:szCs w:val="24"/>
        </w:rPr>
        <w:t xml:space="preserve">The accumulation of mental models from multiple disciplines — biology, physics, history, psychology, economics — as the basis for sound judgment under uncertainty. Munger's lifelong argument was that a single-discipline expert is systematically blind to the causes and consequences that lie outside their toolkit. The meta level is where worldly wisdom operates.</w:t>
      </w:r>
    </w:p>
    <w:p>
      <w:pPr>
        <w:spacing w:after="120" w:before="120"/>
      </w:pPr>
      <w:r>
        <w:t xml:space="preserve"/>
      </w:r>
    </w:p>
    <w:p>
      <w:pPr>
        <w:spacing w:after="120" w:before="120" w:line="360"/>
        <w:jc w:val="both"/>
      </w:pPr>
      <w:r>
        <w:rPr>
          <w:rFonts w:ascii="Georgia" w:cs="Georgia" w:eastAsia="Georgia" w:hAnsi="Georgia"/>
          <w:b/>
          <w:bCs/>
          <w:sz w:val="24"/>
          <w:szCs w:val="24"/>
        </w:rPr>
        <w:t xml:space="preserve">Character (Corey Crossan, Oxford Character Project / Virtuosity Character): </w:t>
      </w:r>
      <w:r>
        <w:rPr>
          <w:rFonts w:ascii="Georgia" w:cs="Georgia" w:eastAsia="Georgia" w:hAnsi="Georgia"/>
          <w:sz w:val="24"/>
          <w:szCs w:val="24"/>
        </w:rPr>
        <w:t xml:space="preserve">Corey Crossan, PhD, is a research and teaching fellow at The Oxford Character Project and co-founder and executive director of Virtuosity Character. Her work — rooted in the foundational leadership character research of Mary Crossan and colleagues at Ivey Business School — establishes character not as a soft virtue but as the aerodynamics of leadership: the hidden structural force that determines whether competence produces genuine performance or merely its appearance. The Crossan model identifies eleven dimensions of leadership character — including humanity, humility, courage, drive, and practical wisdom — and demonstrates that these are observable, measurable, and developable. Research from Ivey shows that moving from weak to strong character produces measurable increases in leader effectiveness and organizational performance. The Crossan character framework is also embedded in The Program for Leadership and Character at Wake Forest University — one of the leading character development initiatives in American higher education and a direct point of connection for the Main &amp; Wall network. For MFiM™, character is a foundational meta-level pillar — the internal architecture of the practitioner and the client relationship alike. A framework built on honest engagement with complexity, on refusing convenient assumptions, and on serving clients rather than managing their perceptions, requires character as its operating condition. Corey’s work also bridges directly to MFiM™’s NIL initiative and basketball network: her focus on character development in sport performance is the academic foundation for the proposition that athletic character and financial character are the same discipline, developed through the same practices. Basketball is Life. Character is the meta level of both.</w:t>
      </w:r>
    </w:p>
    <w:p>
      <w:pPr>
        <w:spacing w:after="120" w:before="120"/>
      </w:pPr>
      <w:r>
        <w:t xml:space="preserve"/>
      </w:r>
    </w:p>
    <w:p>
      <w:pPr>
        <w:spacing w:after="120" w:before="120" w:line="360"/>
        <w:jc w:val="both"/>
      </w:pPr>
      <w:r>
        <w:rPr>
          <w:rFonts w:ascii="Georgia" w:cs="Georgia" w:eastAsia="Georgia" w:hAnsi="Georgia"/>
          <w:b/>
          <w:bCs/>
          <w:sz w:val="24"/>
          <w:szCs w:val="24"/>
        </w:rPr>
        <w:t xml:space="preserve">Anthropology and Sociology (Gillian Tett, Cambridge/FT): </w:t>
      </w:r>
      <w:r>
        <w:rPr>
          <w:rFonts w:ascii="Georgia" w:cs="Georgia" w:eastAsia="Georgia" w:hAnsi="Georgia"/>
          <w:sz w:val="24"/>
          <w:szCs w:val="24"/>
        </w:rPr>
        <w:t xml:space="preserve">Tett holds a PhD in social anthropology from Cambridge University and spent her career applying that lens to financial markets — first as the FT journalist who saw the 2008 crisis coming before almost anyone else, then in three books that form the anthropological case for the meta level. Fool's Gold (2009) showed how Wall Street's cultural assumptions and tribal silos produced catastrophic blindness. The Silo Effect (2015) asked the foundational meta-level question: why do normally intelligent people, working in institutions full of information, collectively fail to see risks that later seem obvious? Anthro-Vision (2021) provided the answer: cultural classification systems, unexamined assumptions, and the boundaries we draw around knowledge determine what we can and cannot see. Tett's work is the anthropological proof that the meta level is not soft — it is the deepest structural layer of institutional behavior, and the one most systematically ignored by conventional finance.</w:t>
      </w:r>
    </w:p>
    <w:p>
      <w:pPr>
        <w:spacing w:after="120" w:before="120"/>
      </w:pPr>
      <w:r>
        <w:t xml:space="preserve"/>
      </w:r>
    </w:p>
    <w:p>
      <w:pPr>
        <w:pStyle w:val="Heading3"/>
      </w:pPr>
      <w:r>
        <w:rPr>
          <w:rFonts w:ascii="Arial" w:cs="Arial" w:eastAsia="Arial" w:hAnsi="Arial"/>
          <w:b/>
          <w:bCs/>
          <w:color w:val="B8952A"/>
          <w:sz w:val="24"/>
          <w:szCs w:val="24"/>
        </w:rPr>
        <w:t xml:space="preserve">3.7.3  The Liberal Arts Ecosystem: UVA and the Meta-Level Advantage</w:t>
      </w:r>
    </w:p>
    <w:p>
      <w:pPr>
        <w:spacing w:after="120" w:before="120" w:line="360"/>
        <w:jc w:val="both"/>
      </w:pPr>
      <w:r>
        <w:rPr>
          <w:rFonts w:ascii="Georgia" w:cs="Georgia" w:eastAsia="Georgia" w:hAnsi="Georgia"/>
          <w:sz w:val="24"/>
          <w:szCs w:val="24"/>
        </w:rPr>
        <w:t xml:space="preserve">The argument for drawing deeply from the University of Virginia's liberal arts tradition is not bureaucratic. It requires no formal agreement, no institutional approval, no academic committee. It is a talent and intellectual pipeline argument — and it is architectural. Bob Sefcik is a UVA alumnus, Class of 1976, College of Arts &amp; Sciences — a member of the ACC Championship basketball team under Coach Terry Holland. The relationship with UVA is not a cold outreach. It is a homecoming.</w:t>
      </w:r>
    </w:p>
    <w:p>
      <w:pPr>
        <w:spacing w:after="120" w:before="120"/>
      </w:pPr>
      <w:r>
        <w:t xml:space="preserve"/>
      </w:r>
    </w:p>
    <w:p>
      <w:pPr>
        <w:spacing w:after="120" w:before="120" w:line="360"/>
        <w:jc w:val="both"/>
      </w:pPr>
      <w:r>
        <w:rPr>
          <w:rFonts w:ascii="Georgia" w:cs="Georgia" w:eastAsia="Georgia" w:hAnsi="Georgia"/>
          <w:sz w:val="24"/>
          <w:szCs w:val="24"/>
        </w:rPr>
        <w:t xml:space="preserve">If the meta level of the economic system is irreducibly humanistic — if psychology, moral philosophy, narrative, and worldly wisdom are structural inputs to sound financial practice rather than decorative additions to it — then practitioners trained in both quantitative and humanistic disciplines have a structural advantage that no purely technical program can replicate. UVA's College of Arts &amp; Sciences produces exactly those practitioners. The Wahoo Finance Group, the broader alumni network, and the intellectual community surrounding the university are the natural talent base for a firm whose competitive differentiation lives at the meta level.</w:t>
      </w:r>
    </w:p>
    <w:p>
      <w:pPr>
        <w:spacing w:after="120" w:before="120"/>
      </w:pPr>
      <w:r>
        <w:t xml:space="preserve"/>
      </w:r>
    </w:p>
    <w:p>
      <w:pPr>
        <w:spacing w:after="120" w:before="120" w:line="360"/>
        <w:jc w:val="both"/>
      </w:pPr>
      <w:r>
        <w:rPr>
          <w:rFonts w:ascii="Georgia" w:cs="Georgia" w:eastAsia="Georgia" w:hAnsi="Georgia"/>
          <w:sz w:val="24"/>
          <w:szCs w:val="24"/>
        </w:rPr>
        <w:t xml:space="preserve">This is not a top-down institutional play. It is a bottom-up ecosystem play. The relationships, the ideas, the credibility — built one conversation at a time, beginning with the people already in the room.</w:t>
      </w:r>
    </w:p>
    <w:p>
      <w:pPr>
        <w:spacing w:after="120" w:before="120"/>
      </w:pPr>
      <w:r>
        <w:t xml:space="preserve"/>
      </w:r>
    </w:p>
    <w:p>
      <w:pPr>
        <w:spacing w:after="120" w:before="120" w:line="360"/>
        <w:jc w:val="both"/>
      </w:pPr>
      <w:r>
        <w:rPr>
          <w:rFonts w:ascii="Georgia" w:cs="Georgia" w:eastAsia="Georgia" w:hAnsi="Georgia"/>
          <w:sz w:val="24"/>
          <w:szCs w:val="24"/>
        </w:rPr>
        <w:t xml:space="preserve">In an era of artificial intelligence, this advantage compounds. AI can process data at scale, optimize within defined parameters, and generate pattern recognition across large datasets. What it cannot do is navigate the meta level: exercise moral judgment, read narrative, apply worldly wisdom across disciplines, or maintain the psychological honesty that genuine learning requires. The liberal arts are not threatened by AI. They become more valuable as AI absorbs the technical layer — because the meta level is where human judgment remains irreplaceable.</w:t>
      </w:r>
    </w:p>
    <w:p>
      <w:pPr>
        <w:spacing w:after="120" w:before="120"/>
      </w:pPr>
      <w:r>
        <w:t xml:space="preserve"/>
      </w:r>
    </w:p>
    <w:p>
      <w:pPr>
        <w:pBdr>
          <w:left w:val="thick" w:color="B8952A" w:sz="12" w:space="10"/>
          <w:right w:val="thick" w:color="B8952A" w:sz="12" w:space="10"/>
        </w:pBdr>
        <w:shd w:fill="F5EDD6" w:val="clear"/>
        <w:spacing w:after="0" w:before="240"/>
        <w:ind w:left="720" w:right="720"/>
        <w:jc w:val="center"/>
      </w:pPr>
      <w:r>
        <w:rPr>
          <w:rFonts w:ascii="Georgia" w:cs="Georgia" w:eastAsia="Georgia" w:hAnsi="Georgia"/>
          <w:i/>
          <w:iCs/>
          <w:color w:val="1B2A4A"/>
          <w:sz w:val="26"/>
          <w:szCs w:val="26"/>
        </w:rPr>
        <w:t xml:space="preserve">In the age of AI, the liberal arts don’t become less relevant to finance. They become load-bearing.</w:t>
      </w:r>
    </w:p>
    <w:p>
      <w:pPr>
        <w:shd w:fill="F5EDD6" w:val="clear"/>
        <w:spacing w:after="240" w:before="80"/>
        <w:ind w:left="720" w:right="720"/>
        <w:jc w:val="center"/>
      </w:pPr>
      <w:r>
        <w:rPr>
          <w:rFonts w:ascii="Arial" w:cs="Arial" w:eastAsia="Arial" w:hAnsi="Arial"/>
          <w:b/>
          <w:bCs/>
          <w:color w:val="B8952A"/>
          <w:sz w:val="20"/>
          <w:szCs w:val="20"/>
        </w:rPr>
        <w:t xml:space="preserve">— Bob Sefcik, Main &amp; Wall Financial Corporation</w:t>
      </w:r>
    </w:p>
    <w:p>
      <w:pPr>
        <w:spacing w:after="120" w:before="120"/>
      </w:pPr>
      <w:r>
        <w:t xml:space="preserve"/>
      </w:r>
    </w:p>
    <w:p>
      <w:pPr>
        <w:spacing w:after="120" w:before="120" w:line="360"/>
        <w:jc w:val="both"/>
      </w:pPr>
      <w:r>
        <w:rPr>
          <w:rFonts w:ascii="Georgia" w:cs="Georgia" w:eastAsia="Georgia" w:hAnsi="Georgia"/>
          <w:sz w:val="24"/>
          <w:szCs w:val="24"/>
        </w:rPr>
        <w:t xml:space="preserve">MFiM™ is the first wealth management framework built on all four floors of the economic system. The micro floor is where securities are selected. The meso floor is where institutional dynamics are read. The macro floor is where monetary and fiscal regimes are tracked. And the meta floor — where human nature, values, narrative, and liberal arts wisdom operate — is where the framework's ultimate foundation rests.</w:t>
      </w:r>
    </w:p>
    <w:p>
      <w:pPr>
        <w:spacing w:after="120" w:before="120"/>
      </w:pPr>
      <w:r>
        <w:t xml:space="preserve"/>
      </w:r>
    </w:p>
    <w:p>
      <w:pPr>
        <w:spacing w:after="120" w:before="120" w:line="360"/>
        <w:jc w:val="both"/>
      </w:pPr>
      <w:r>
        <w:rPr>
          <w:rFonts w:ascii="Georgia" w:cs="Georgia" w:eastAsia="Georgia" w:hAnsi="Georgia"/>
          <w:sz w:val="24"/>
          <w:szCs w:val="24"/>
        </w:rPr>
        <w:t xml:space="preserve">This is what makes MFiM™ not a new product but a new foundation. And it is what makes the liberal arts not a supplement to financial practice but its deepest structural layer.</w:t>
      </w:r>
    </w:p>
    <w:p>
      <w:pPr>
        <w:spacing w:after="120" w:before="120"/>
      </w:pPr>
      <w:r>
        <w:t xml:space="preserve"/>
      </w:r>
    </w:p>
    <w:p>
      <w:pPr>
        <w:pBdr>
          <w:bottom w:val="single" w:color="B8952A" w:sz="4" w:space="4"/>
        </w:pBdr>
        <w:spacing w:after="240" w:before="240"/>
      </w:pPr>
      <w:r>
        <w:t xml:space="preserve"/>
      </w:r>
    </w:p>
    <w:p>
      <w:pPr>
        <w:pStyle w:val="Heading3"/>
      </w:pPr>
      <w:r>
        <w:rPr>
          <w:rFonts w:ascii="Arial" w:cs="Arial" w:eastAsia="Arial" w:hAnsi="Arial"/>
          <w:b/>
          <w:bCs/>
          <w:color w:val="B8952A"/>
          <w:sz w:val="24"/>
          <w:szCs w:val="24"/>
        </w:rPr>
        <w:t xml:space="preserve">Key References</w:t>
      </w:r>
    </w:p>
    <w:p>
      <w:pPr>
        <w:spacing w:after="120" w:before="120" w:line="360"/>
        <w:jc w:val="both"/>
      </w:pPr>
      <w:r>
        <w:rPr>
          <w:rFonts w:ascii="Georgia" w:cs="Georgia" w:eastAsia="Georgia" w:hAnsi="Georgia"/>
          <w:sz w:val="24"/>
          <w:szCs w:val="24"/>
        </w:rPr>
        <w:t xml:space="preserve">Sheng, A. &amp; Geng, X. (2012). Micro, Macro, Meso, and Meta Economics. Project Syndicate / World Economic Forum.</w:t>
      </w:r>
    </w:p>
    <w:p>
      <w:pPr>
        <w:spacing w:after="120" w:before="120" w:line="360"/>
        <w:jc w:val="both"/>
      </w:pPr>
      <w:r>
        <w:rPr>
          <w:rFonts w:ascii="Georgia" w:cs="Georgia" w:eastAsia="Georgia" w:hAnsi="Georgia"/>
          <w:sz w:val="24"/>
          <w:szCs w:val="24"/>
        </w:rPr>
        <w:t xml:space="preserve">Beinhocker, E.D. (2006). The Origin of Wealth: Evolution, Complexity, and the Radical Remaking of Economics. Harvard Business Review Press.</w:t>
      </w:r>
    </w:p>
    <w:p>
      <w:pPr>
        <w:spacing w:after="120" w:before="120" w:line="360"/>
        <w:jc w:val="both"/>
      </w:pPr>
      <w:r>
        <w:rPr>
          <w:rFonts w:ascii="Georgia" w:cs="Georgia" w:eastAsia="Georgia" w:hAnsi="Georgia"/>
          <w:sz w:val="24"/>
          <w:szCs w:val="24"/>
        </w:rPr>
        <w:t xml:space="preserve">Arthur, W.B. (1989). Competing technologies, increasing returns, and lock-in by historical events. The Economic Journal, 99(394), 116–131.</w:t>
      </w:r>
    </w:p>
    <w:p>
      <w:pPr>
        <w:spacing w:after="120" w:before="120" w:line="360"/>
        <w:jc w:val="both"/>
      </w:pPr>
      <w:r>
        <w:rPr>
          <w:rFonts w:ascii="Georgia" w:cs="Georgia" w:eastAsia="Georgia" w:hAnsi="Georgia"/>
          <w:sz w:val="24"/>
          <w:szCs w:val="24"/>
        </w:rPr>
        <w:t xml:space="preserve">Arthur, W.B. (1994). Increasing Returns and Path Dependence in the Economy. University of Michigan Press.</w:t>
      </w:r>
    </w:p>
    <w:p>
      <w:pPr>
        <w:spacing w:after="120" w:before="120" w:line="360"/>
        <w:jc w:val="both"/>
      </w:pPr>
      <w:r>
        <w:rPr>
          <w:rFonts w:ascii="Georgia" w:cs="Georgia" w:eastAsia="Georgia" w:hAnsi="Georgia"/>
          <w:sz w:val="24"/>
          <w:szCs w:val="24"/>
        </w:rPr>
        <w:t xml:space="preserve">Arthur, W.B. (2015). Complexity and the Economy. Oxford University Press.</w:t>
      </w:r>
    </w:p>
    <w:p>
      <w:pPr>
        <w:spacing w:after="120" w:before="120" w:line="360"/>
        <w:jc w:val="both"/>
      </w:pPr>
      <w:r>
        <w:rPr>
          <w:rFonts w:ascii="Georgia" w:cs="Georgia" w:eastAsia="Georgia" w:hAnsi="Georgia"/>
          <w:sz w:val="24"/>
          <w:szCs w:val="24"/>
        </w:rPr>
        <w:t xml:space="preserve">Colander, D. &amp; Kupers, R. (2014). Complexity and the Art of Public Policy: Solving Society’s Problems from the Bottom Up. Princeton University Press.</w:t>
      </w:r>
    </w:p>
    <w:p>
      <w:pPr>
        <w:spacing w:after="120" w:before="120" w:line="360"/>
        <w:jc w:val="both"/>
      </w:pPr>
      <w:r>
        <w:rPr>
          <w:rFonts w:ascii="Georgia" w:cs="Georgia" w:eastAsia="Georgia" w:hAnsi="Georgia"/>
          <w:sz w:val="24"/>
          <w:szCs w:val="24"/>
        </w:rPr>
        <w:t xml:space="preserve">Freeman, R.E. (1984/2010). Strategic Management: A Stakeholder Approach. Cambridge University Press.</w:t>
      </w:r>
    </w:p>
    <w:p>
      <w:pPr>
        <w:spacing w:after="120" w:before="120" w:line="360"/>
        <w:jc w:val="both"/>
      </w:pPr>
      <w:r>
        <w:rPr>
          <w:rFonts w:ascii="Georgia" w:cs="Georgia" w:eastAsia="Georgia" w:hAnsi="Georgia"/>
          <w:sz w:val="24"/>
          <w:szCs w:val="24"/>
        </w:rPr>
        <w:t xml:space="preserve">Freeman, R.E., Martin, K. &amp; Parmar, B. (2020). The Power of And: Responsible Business Without Tradeoffs. Columbia University Press.</w:t>
      </w:r>
    </w:p>
    <w:p>
      <w:pPr>
        <w:spacing w:after="120" w:before="120" w:line="360"/>
        <w:jc w:val="both"/>
      </w:pPr>
      <w:r>
        <w:rPr>
          <w:rFonts w:ascii="Georgia" w:cs="Georgia" w:eastAsia="Georgia" w:hAnsi="Georgia"/>
          <w:sz w:val="24"/>
          <w:szCs w:val="24"/>
        </w:rPr>
        <w:t xml:space="preserve">Hess, E.D. (2014). Learn or Die: Using Science to Build a Leading-Edge Learning Organization. Columbia Business School Press.</w:t>
      </w:r>
    </w:p>
    <w:p>
      <w:pPr>
        <w:spacing w:after="120" w:before="120" w:line="360"/>
        <w:jc w:val="both"/>
      </w:pPr>
      <w:r>
        <w:rPr>
          <w:rFonts w:ascii="Georgia" w:cs="Georgia" w:eastAsia="Georgia" w:hAnsi="Georgia"/>
          <w:sz w:val="24"/>
          <w:szCs w:val="24"/>
        </w:rPr>
        <w:t xml:space="preserve">Hess, E.D. &amp; Ludwig, C. (2017). Humility Is the New Smart: Rethinking Human Excellence in the Smart Machine Age. Berrett-Koehler.</w:t>
      </w:r>
    </w:p>
    <w:p>
      <w:pPr>
        <w:spacing w:after="120" w:before="120" w:line="360"/>
        <w:jc w:val="both"/>
      </w:pPr>
      <w:r>
        <w:rPr>
          <w:rFonts w:ascii="Georgia" w:cs="Georgia" w:eastAsia="Georgia" w:hAnsi="Georgia"/>
          <w:sz w:val="24"/>
          <w:szCs w:val="24"/>
        </w:rPr>
        <w:t xml:space="preserve">Hess, E.D. (2020). Hyper-Learning: How to Adapt to the Speed of Change. Berrett-Koehler.</w:t>
      </w:r>
    </w:p>
    <w:p>
      <w:pPr>
        <w:spacing w:after="120" w:before="120" w:line="360"/>
        <w:jc w:val="both"/>
      </w:pPr>
      <w:r>
        <w:rPr>
          <w:rFonts w:ascii="Georgia" w:cs="Georgia" w:eastAsia="Georgia" w:hAnsi="Georgia"/>
          <w:sz w:val="24"/>
          <w:szCs w:val="24"/>
        </w:rPr>
        <w:t xml:space="preserve">Kahneman, D. (2011). Thinking, Fast and Slow. Farrar, Straus and Giroux.</w:t>
      </w:r>
    </w:p>
    <w:p>
      <w:pPr>
        <w:spacing w:after="120" w:before="120" w:line="360"/>
        <w:jc w:val="both"/>
      </w:pPr>
      <w:r>
        <w:rPr>
          <w:rFonts w:ascii="Georgia" w:cs="Georgia" w:eastAsia="Georgia" w:hAnsi="Georgia"/>
          <w:sz w:val="24"/>
          <w:szCs w:val="24"/>
        </w:rPr>
        <w:t xml:space="preserve">Morrison, E., Hutcheson, S., Nilsen, E., Fadden, J. &amp; Franklin, N. (2019). Strategic Doing: Ten Skills for Agile Leadership. Wiley.</w:t>
      </w:r>
    </w:p>
    <w:p>
      <w:pPr>
        <w:spacing w:after="120" w:before="120" w:line="360"/>
        <w:jc w:val="both"/>
      </w:pPr>
      <w:r>
        <w:rPr>
          <w:rFonts w:ascii="Georgia" w:cs="Georgia" w:eastAsia="Georgia" w:hAnsi="Georgia"/>
          <w:sz w:val="24"/>
          <w:szCs w:val="24"/>
        </w:rPr>
        <w:t xml:space="preserve">Morrison, E. &amp; Knowles, R. (2020). Strategy and Complexity: Two Models for Guiding Strategy in Complex Community Environments. Journal on Policy and Complex Systems.</w:t>
      </w:r>
    </w:p>
    <w:p>
      <w:pPr>
        <w:spacing w:after="120" w:before="120" w:line="360"/>
        <w:jc w:val="both"/>
      </w:pPr>
      <w:r>
        <w:rPr>
          <w:rFonts w:ascii="Georgia" w:cs="Georgia" w:eastAsia="Georgia" w:hAnsi="Georgia"/>
          <w:sz w:val="24"/>
          <w:szCs w:val="24"/>
        </w:rPr>
        <w:t xml:space="preserve">Crossan, M., Seijts, G. &amp; Gandz, J. (2015). Developing Leadership Character. Routledge.</w:t>
      </w:r>
    </w:p>
    <w:p>
      <w:pPr>
        <w:spacing w:after="120" w:before="120" w:line="360"/>
        <w:jc w:val="both"/>
      </w:pPr>
      <w:r>
        <w:rPr>
          <w:rFonts w:ascii="Georgia" w:cs="Georgia" w:eastAsia="Georgia" w:hAnsi="Georgia"/>
          <w:sz w:val="24"/>
          <w:szCs w:val="24"/>
        </w:rPr>
        <w:t xml:space="preserve">Crossan, C. (ongoing). Character Development in Sport and Leadership. The Oxford Character Project / Virtuosity Character.</w:t>
      </w:r>
    </w:p>
    <w:p>
      <w:pPr>
        <w:spacing w:after="120" w:before="120" w:line="360"/>
        <w:jc w:val="both"/>
      </w:pPr>
      <w:r>
        <w:rPr>
          <w:rFonts w:ascii="Georgia" w:cs="Georgia" w:eastAsia="Georgia" w:hAnsi="Georgia"/>
          <w:sz w:val="24"/>
          <w:szCs w:val="24"/>
        </w:rPr>
        <w:t xml:space="preserve">Tett, G. (2015). The Silo Effect: The Peril of Expertise and the Promise of Breaking Down Barriers. Simon &amp; Schuster.</w:t>
      </w:r>
    </w:p>
    <w:p>
      <w:pPr>
        <w:spacing w:after="120" w:before="120" w:line="360"/>
        <w:jc w:val="both"/>
      </w:pPr>
      <w:r>
        <w:rPr>
          <w:rFonts w:ascii="Georgia" w:cs="Georgia" w:eastAsia="Georgia" w:hAnsi="Georgia"/>
          <w:sz w:val="24"/>
          <w:szCs w:val="24"/>
        </w:rPr>
        <w:t xml:space="preserve">Tett, G. (2021). Anthro-Vision: A New Way to See in Business and Life. Avid Reader Press.</w:t>
      </w:r>
    </w:p>
    <w:p>
      <w:pPr>
        <w:spacing w:after="120" w:before="120" w:line="360"/>
        <w:jc w:val="both"/>
      </w:pPr>
      <w:r>
        <w:rPr>
          <w:rFonts w:ascii="Georgia" w:cs="Georgia" w:eastAsia="Georgia" w:hAnsi="Georgia"/>
          <w:sz w:val="24"/>
          <w:szCs w:val="24"/>
        </w:rPr>
        <w:t xml:space="preserve">Hayman, G. &amp; Pang, R.K. (2025). Reframing Financial Markets as Complex Systems: Tools for Systemic Risk Analysis, Portfolio Management, and System-Level Investing. CFA Institute Research and Policy Center.</w:t>
      </w:r>
    </w:p>
    <w:p>
      <w:pPr>
        <w:spacing w:after="120" w:before="120"/>
      </w:pPr>
      <w:r>
        <w:t xml:space="preserve"/>
      </w:r>
    </w:p>
    <w:p>
      <w:pPr>
        <w:pBdr>
          <w:bottom w:val="single" w:color="B8952A" w:sz="4" w:space="4"/>
        </w:pBdr>
        <w:spacing w:after="240" w:before="240"/>
      </w:pPr>
      <w:r>
        <w:t xml:space="preserve"/>
      </w:r>
    </w:p>
    <w:p>
      <w:pPr>
        <w:spacing w:after="80" w:before="200"/>
        <w:jc w:val="center"/>
      </w:pPr>
      <w:r>
        <w:rPr>
          <w:rFonts w:ascii="Arial" w:cs="Arial" w:eastAsia="Arial" w:hAnsi="Arial"/>
          <w:b/>
          <w:bCs/>
          <w:color w:val="1B2A4A"/>
          <w:sz w:val="20"/>
          <w:szCs w:val="20"/>
        </w:rPr>
        <w:t xml:space="preserve">Main &amp; Wall Financial Corporation</w:t>
      </w:r>
    </w:p>
    <w:p>
      <w:pPr>
        <w:spacing w:after="80" w:before="0"/>
        <w:jc w:val="center"/>
      </w:pPr>
      <w:r>
        <w:rPr>
          <w:rFonts w:ascii="Arial" w:cs="Arial" w:eastAsia="Arial" w:hAnsi="Arial"/>
          <w:color w:val="B8952A"/>
          <w:sz w:val="18"/>
          <w:szCs w:val="18"/>
        </w:rPr>
        <w:t xml:space="preserve">Charlottesville, Virginia | mainandwall-cville.com</w:t>
      </w:r>
    </w:p>
    <w:p>
      <w:pPr>
        <w:spacing w:after="0" w:before="0"/>
        <w:jc w:val="center"/>
      </w:pPr>
      <w:r>
        <w:rPr>
          <w:rFonts w:ascii="Arial" w:cs="Arial" w:eastAsia="Arial" w:hAnsi="Arial"/>
          <w:i/>
          <w:iCs/>
          <w:color w:val="1B2A4A"/>
          <w:sz w:val="16"/>
          <w:szCs w:val="16"/>
        </w:rPr>
        <w:t xml:space="preserve">MAIN &amp; WALL® | MFiM™ | Registered Investment Advisor, State of New Jersey</w:t>
      </w:r>
    </w:p>
    <w:sectPr>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B8952A" w:sz="4" w:space="4"/>
      </w:pBdr>
      <w:jc w:val="center"/>
    </w:pPr>
    <w:r>
      <w:rPr>
        <w:rFonts w:ascii="Arial" w:cs="Arial" w:eastAsia="Arial" w:hAnsi="Arial"/>
        <w:color w:val="1B2A4A"/>
        <w:sz w:val="16"/>
        <w:szCs w:val="16"/>
      </w:rPr>
      <w:t xml:space="preserve">Main &amp; Wall Financial Corporation  |  MFiM™ White Paper  |  Confidential Draft © 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400"/>
      <w:outlineLvl w:val="0"/>
    </w:pPr>
    <w:rPr>
      <w:rFonts w:ascii="Arial" w:cs="Arial" w:eastAsia="Arial" w:hAnsi="Arial"/>
      <w:b/>
      <w:bCs/>
      <w:color w:val="1B2A4A"/>
      <w:sz w:val="36"/>
      <w:szCs w:val="36"/>
    </w:rPr>
  </w:style>
  <w:style w:type="paragraph" w:styleId="Heading2">
    <w:name w:val="Heading 2"/>
    <w:basedOn w:val="Normal"/>
    <w:next w:val="Normal"/>
    <w:qFormat/>
    <w:pPr>
      <w:spacing w:after="160" w:before="320"/>
      <w:outlineLvl w:val="1"/>
    </w:pPr>
    <w:rPr>
      <w:rFonts w:ascii="Arial" w:cs="Arial" w:eastAsia="Arial" w:hAnsi="Arial"/>
      <w:b/>
      <w:bCs/>
      <w:color w:val="1B2A4A"/>
      <w:sz w:val="28"/>
      <w:szCs w:val="28"/>
    </w:rPr>
  </w:style>
  <w:style w:type="paragraph" w:styleId="Heading3">
    <w:name w:val="Heading 3"/>
    <w:basedOn w:val="Normal"/>
    <w:next w:val="Normal"/>
    <w:qFormat/>
    <w:pPr>
      <w:spacing w:after="120" w:before="240"/>
      <w:outlineLvl w:val="2"/>
    </w:pPr>
    <w:rPr>
      <w:rFonts w:ascii="Arial" w:cs="Arial" w:eastAsia="Arial" w:hAnsi="Arial"/>
      <w:b/>
      <w:bCs/>
      <w:color w:val="B8952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2026-05-10T17:49:04.095Z</dcterms:created>
  <dcterms:modified xsi:type="dcterms:W3CDTF">2026-05-10T17:49:04.095Z</dcterms:modified>
</cp:coreProperties>
</file>

<file path=docProps/custom.xml><?xml version="1.0" encoding="utf-8"?>
<Properties xmlns="http://schemas.openxmlformats.org/officeDocument/2006/custom-properties" xmlns:vt="http://schemas.openxmlformats.org/officeDocument/2006/docPropsVTypes"/>
</file>